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0210D2">
        <w:rPr>
          <w:rFonts w:ascii="Times New Roman" w:hAnsi="Times New Roman"/>
          <w:sz w:val="28"/>
          <w:szCs w:val="28"/>
          <w:lang w:val="ru-RU"/>
        </w:rPr>
        <w:t>10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210D2">
        <w:rPr>
          <w:rFonts w:ascii="Times New Roman" w:hAnsi="Times New Roman"/>
          <w:sz w:val="28"/>
          <w:szCs w:val="28"/>
          <w:lang w:val="ru-RU"/>
        </w:rPr>
        <w:t>января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6347">
        <w:rPr>
          <w:rFonts w:ascii="Times New Roman" w:hAnsi="Times New Roman"/>
          <w:b/>
          <w:sz w:val="28"/>
          <w:szCs w:val="28"/>
          <w:lang w:val="ru-RU"/>
        </w:rPr>
        <w:t>7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 xml:space="preserve">Собрания депутатов </w:t>
      </w:r>
      <w:proofErr w:type="spellStart"/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</w:t>
      </w:r>
      <w:r w:rsidR="000C4E7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23.12.2022 № 45 «О бюджете </w:t>
      </w:r>
      <w:proofErr w:type="spellStart"/>
      <w:r w:rsidR="000210D2" w:rsidRPr="000210D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0210D2" w:rsidRPr="000210D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 района на 2023 год и на плановый период 2024 и 2025 годов»</w:t>
      </w:r>
      <w:r w:rsidR="00933AD0" w:rsidRPr="000210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A785B" w:rsidRPr="000210D2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proofErr w:type="gramEnd"/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0210D2">
        <w:rPr>
          <w:rFonts w:ascii="Times New Roman" w:hAnsi="Times New Roman"/>
          <w:sz w:val="28"/>
          <w:szCs w:val="28"/>
          <w:lang w:val="ru-RU"/>
        </w:rPr>
        <w:t>29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76347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76347">
        <w:rPr>
          <w:rFonts w:ascii="Times New Roman" w:hAnsi="Times New Roman"/>
          <w:sz w:val="28"/>
          <w:szCs w:val="28"/>
          <w:lang w:val="ru-RU"/>
        </w:rPr>
        <w:t>3</w:t>
      </w:r>
      <w:r w:rsidR="000210D2">
        <w:rPr>
          <w:rFonts w:ascii="Times New Roman" w:hAnsi="Times New Roman"/>
          <w:sz w:val="28"/>
          <w:szCs w:val="28"/>
          <w:lang w:val="ru-RU"/>
        </w:rPr>
        <w:t>47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lastRenderedPageBreak/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sz w:val="28"/>
          <w:szCs w:val="28"/>
          <w:lang w:val="ru-RU"/>
        </w:rPr>
        <w:t xml:space="preserve"> 7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210D2">
        <w:rPr>
          <w:rFonts w:ascii="Times New Roman" w:hAnsi="Times New Roman"/>
          <w:sz w:val="28"/>
          <w:szCs w:val="28"/>
          <w:lang w:val="ru-RU"/>
        </w:rPr>
        <w:t>10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0210D2">
        <w:rPr>
          <w:rFonts w:ascii="Times New Roman" w:hAnsi="Times New Roman"/>
          <w:sz w:val="28"/>
          <w:szCs w:val="28"/>
          <w:lang w:val="ru-RU"/>
        </w:rPr>
        <w:t>01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05D31" w:rsidRPr="0084119C" w:rsidRDefault="00105D31" w:rsidP="00105D31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105D31" w:rsidRPr="00E13FDB" w:rsidRDefault="00105D31" w:rsidP="00105D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105D31" w:rsidRDefault="00105D31" w:rsidP="00105D31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105D31" w:rsidRPr="00105D31" w:rsidTr="00FC55F4">
        <w:trPr>
          <w:trHeight w:val="705"/>
        </w:trPr>
        <w:tc>
          <w:tcPr>
            <w:tcW w:w="2688" w:type="dxa"/>
          </w:tcPr>
          <w:p w:rsidR="00105D31" w:rsidRPr="00105D31" w:rsidRDefault="00105D31" w:rsidP="00FC55F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105D31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105D31" w:rsidRPr="00105D31" w:rsidRDefault="00105D31" w:rsidP="00FC55F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105D31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105D31" w:rsidRPr="00105D31" w:rsidRDefault="00105D31" w:rsidP="00FC55F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105D31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223160,5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223160,5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16706,9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17375,3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18070,1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105D31" w:rsidRPr="00105D31" w:rsidRDefault="00105D31" w:rsidP="00105D3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105D31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105D31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105D31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105D31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105D31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105D31" w:rsidRPr="00105D31" w:rsidTr="00FC55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95952,8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95952,8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11174,8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11621,9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12086,6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105D31" w:rsidRPr="00105D31" w:rsidRDefault="00105D31" w:rsidP="00105D31">
      <w:pPr>
        <w:rPr>
          <w:rFonts w:ascii="Times New Roman" w:hAnsi="Times New Roman"/>
          <w:sz w:val="28"/>
          <w:szCs w:val="28"/>
          <w:lang w:val="ru-RU"/>
        </w:rPr>
      </w:pPr>
    </w:p>
    <w:p w:rsidR="00105D31" w:rsidRPr="00105D31" w:rsidRDefault="00105D31" w:rsidP="00105D3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105D31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105D31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105D31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105D31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105D31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105D31" w:rsidRPr="00105D31" w:rsidTr="00FC55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127207,7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127207,7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5532,1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5753,4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5983,5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105D3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F3BA4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2527A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13614,6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1755,0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802,4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AE6C49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35664,5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5048,2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121390,8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4713,4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0C4E78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304897" w:rsidRPr="00053F4F" w:rsidRDefault="00304897" w:rsidP="00FC55F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304897" w:rsidRPr="00053F4F" w:rsidRDefault="00304897" w:rsidP="00FC55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053F4F" w:rsidRDefault="00304897" w:rsidP="00FC55F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304897" w:rsidRPr="00053F4F" w:rsidRDefault="00304897" w:rsidP="00FC55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304897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1672D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44" w:type="pct"/>
          </w:tcPr>
          <w:p w:rsidR="00304897" w:rsidRPr="00E32BD5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304897" w:rsidRPr="00C93703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304897" w:rsidRPr="00800BA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304897" w:rsidRPr="00406F7C" w:rsidRDefault="00304897" w:rsidP="00FC55F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1672D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44" w:type="pct"/>
          </w:tcPr>
          <w:p w:rsidR="00304897" w:rsidRPr="00E32BD5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304897" w:rsidRPr="00C93703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304897" w:rsidRPr="00800BA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304897" w:rsidRPr="00406F7C" w:rsidRDefault="00304897" w:rsidP="00FC55F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2C" w:rsidRDefault="00A71D2C" w:rsidP="009C1A38">
      <w:r>
        <w:separator/>
      </w:r>
    </w:p>
  </w:endnote>
  <w:endnote w:type="continuationSeparator" w:id="0">
    <w:p w:rsidR="00A71D2C" w:rsidRDefault="00A71D2C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2C" w:rsidRDefault="00A71D2C" w:rsidP="009C1A38">
      <w:r>
        <w:separator/>
      </w:r>
    </w:p>
  </w:footnote>
  <w:footnote w:type="continuationSeparator" w:id="0">
    <w:p w:rsidR="00A71D2C" w:rsidRDefault="00A71D2C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8E7A-E847-4DC8-9F78-C3FB675F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9</cp:revision>
  <cp:lastPrinted>2020-11-23T06:07:00Z</cp:lastPrinted>
  <dcterms:created xsi:type="dcterms:W3CDTF">2023-01-11T12:16:00Z</dcterms:created>
  <dcterms:modified xsi:type="dcterms:W3CDTF">2023-01-12T10:11:00Z</dcterms:modified>
</cp:coreProperties>
</file>