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9915A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0076B09A" wp14:editId="6461C462">
            <wp:extent cx="474453" cy="491536"/>
            <wp:effectExtent l="0" t="0" r="1905" b="381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4" cy="49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514EBB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>
        <w:rPr>
          <w:b/>
          <w:spacing w:val="0"/>
          <w:kern w:val="0"/>
          <w:position w:val="0"/>
          <w:sz w:val="40"/>
          <w:szCs w:val="40"/>
          <w:u w:val="none"/>
        </w:rPr>
        <w:t>РАСПОРЯЖЕНИЕ</w:t>
      </w:r>
    </w:p>
    <w:p w:rsidR="000C26E6" w:rsidRPr="000C26E6" w:rsidRDefault="000C26E6" w:rsidP="000C26E6">
      <w:pPr>
        <w:spacing w:line="480" w:lineRule="auto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FC6E5B">
        <w:rPr>
          <w:spacing w:val="0"/>
          <w:kern w:val="0"/>
          <w:position w:val="0"/>
          <w:u w:val="none"/>
        </w:rPr>
        <w:t xml:space="preserve">« </w:t>
      </w:r>
      <w:r w:rsidR="00AD416D">
        <w:rPr>
          <w:spacing w:val="0"/>
          <w:kern w:val="0"/>
          <w:position w:val="0"/>
          <w:u w:val="none"/>
        </w:rPr>
        <w:t>12</w:t>
      </w:r>
      <w:r w:rsidRPr="00FC6E5B">
        <w:rPr>
          <w:spacing w:val="0"/>
          <w:kern w:val="0"/>
          <w:position w:val="0"/>
          <w:u w:val="none"/>
        </w:rPr>
        <w:t xml:space="preserve"> » </w:t>
      </w:r>
      <w:r w:rsidR="00AD416D">
        <w:rPr>
          <w:spacing w:val="0"/>
          <w:kern w:val="0"/>
          <w:position w:val="0"/>
          <w:u w:val="none"/>
        </w:rPr>
        <w:t>мая</w:t>
      </w:r>
      <w:r w:rsidR="00C54F05">
        <w:rPr>
          <w:spacing w:val="0"/>
          <w:kern w:val="0"/>
          <w:position w:val="0"/>
          <w:u w:val="none"/>
        </w:rPr>
        <w:t xml:space="preserve"> </w:t>
      </w:r>
      <w:r w:rsidRPr="00FC6E5B">
        <w:rPr>
          <w:spacing w:val="0"/>
          <w:kern w:val="0"/>
          <w:position w:val="0"/>
          <w:u w:val="none"/>
        </w:rPr>
        <w:t xml:space="preserve"> 20</w:t>
      </w:r>
      <w:r w:rsidR="003278CC">
        <w:rPr>
          <w:spacing w:val="0"/>
          <w:kern w:val="0"/>
          <w:position w:val="0"/>
          <w:u w:val="none"/>
        </w:rPr>
        <w:t>2</w:t>
      </w:r>
      <w:r w:rsidR="00AD416D">
        <w:rPr>
          <w:spacing w:val="0"/>
          <w:kern w:val="0"/>
          <w:position w:val="0"/>
          <w:u w:val="none"/>
        </w:rPr>
        <w:t>2</w:t>
      </w:r>
      <w:r w:rsidRPr="00FC6E5B">
        <w:rPr>
          <w:spacing w:val="0"/>
          <w:kern w:val="0"/>
          <w:position w:val="0"/>
          <w:u w:val="none"/>
        </w:rPr>
        <w:t xml:space="preserve"> г. </w:t>
      </w:r>
      <w:r w:rsidRPr="00FC6E5B">
        <w:rPr>
          <w:spacing w:val="0"/>
          <w:kern w:val="0"/>
          <w:position w:val="0"/>
          <w:u w:val="none"/>
        </w:rPr>
        <w:tab/>
      </w:r>
      <w:r w:rsidRPr="000C26E6">
        <w:rPr>
          <w:spacing w:val="0"/>
          <w:kern w:val="0"/>
          <w:position w:val="0"/>
          <w:sz w:val="24"/>
          <w:szCs w:val="24"/>
          <w:u w:val="none"/>
        </w:rPr>
        <w:t xml:space="preserve">                  </w:t>
      </w:r>
      <w:r w:rsidRPr="003278CC">
        <w:rPr>
          <w:b/>
          <w:spacing w:val="0"/>
          <w:kern w:val="0"/>
          <w:position w:val="0"/>
          <w:sz w:val="32"/>
          <w:szCs w:val="32"/>
          <w:u w:val="none"/>
        </w:rPr>
        <w:t>№</w:t>
      </w:r>
      <w:r w:rsidR="003278CC">
        <w:rPr>
          <w:b/>
          <w:spacing w:val="0"/>
          <w:kern w:val="0"/>
          <w:position w:val="0"/>
          <w:szCs w:val="32"/>
          <w:u w:val="none"/>
        </w:rPr>
        <w:t xml:space="preserve"> </w:t>
      </w:r>
      <w:r w:rsidR="007D077B">
        <w:rPr>
          <w:b/>
          <w:spacing w:val="0"/>
          <w:kern w:val="0"/>
          <w:position w:val="0"/>
          <w:szCs w:val="32"/>
          <w:u w:val="none"/>
        </w:rPr>
        <w:t xml:space="preserve">58  </w:t>
      </w:r>
      <w:r w:rsidRPr="003278CC">
        <w:rPr>
          <w:spacing w:val="0"/>
          <w:kern w:val="0"/>
          <w:position w:val="0"/>
          <w:u w:val="none"/>
        </w:rPr>
        <w:t xml:space="preserve">  </w:t>
      </w:r>
      <w:r w:rsidRPr="003278CC">
        <w:rPr>
          <w:spacing w:val="0"/>
          <w:kern w:val="0"/>
          <w:position w:val="0"/>
          <w:sz w:val="32"/>
          <w:u w:val="none"/>
        </w:rPr>
        <w:t xml:space="preserve">     </w:t>
      </w:r>
      <w:r w:rsidRPr="000C26E6">
        <w:rPr>
          <w:spacing w:val="0"/>
          <w:kern w:val="0"/>
          <w:position w:val="0"/>
          <w:u w:val="none"/>
        </w:rPr>
        <w:t xml:space="preserve">      </w:t>
      </w:r>
      <w:r w:rsidRPr="000C26E6">
        <w:rPr>
          <w:spacing w:val="0"/>
          <w:kern w:val="0"/>
          <w:position w:val="0"/>
          <w:sz w:val="24"/>
          <w:szCs w:val="24"/>
          <w:u w:val="none"/>
        </w:rPr>
        <w:tab/>
      </w:r>
      <w:r w:rsidRPr="00FC6E5B">
        <w:rPr>
          <w:spacing w:val="0"/>
          <w:kern w:val="0"/>
          <w:position w:val="0"/>
          <w:szCs w:val="24"/>
          <w:u w:val="none"/>
        </w:rPr>
        <w:t xml:space="preserve">               </w:t>
      </w:r>
      <w:r w:rsidR="00FC6E5B" w:rsidRPr="00FC6E5B">
        <w:rPr>
          <w:spacing w:val="0"/>
          <w:kern w:val="0"/>
          <w:position w:val="0"/>
          <w:szCs w:val="24"/>
          <w:u w:val="none"/>
        </w:rPr>
        <w:t>ст. Егорлыкская</w:t>
      </w:r>
    </w:p>
    <w:p w:rsidR="00505530" w:rsidRDefault="00505530" w:rsidP="006C53FB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05530">
        <w:rPr>
          <w:b/>
          <w:spacing w:val="0"/>
          <w:kern w:val="0"/>
          <w:position w:val="0"/>
          <w:u w:val="none"/>
        </w:rPr>
        <w:t xml:space="preserve">О создании комиссии по принятию решения </w:t>
      </w:r>
    </w:p>
    <w:p w:rsidR="00505530" w:rsidRDefault="00505530" w:rsidP="006C53FB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05530">
        <w:rPr>
          <w:b/>
          <w:spacing w:val="0"/>
          <w:kern w:val="0"/>
          <w:position w:val="0"/>
          <w:u w:val="none"/>
        </w:rPr>
        <w:t xml:space="preserve">о внесении изменений в существенные условия </w:t>
      </w:r>
    </w:p>
    <w:p w:rsidR="006C53FB" w:rsidRDefault="00505530" w:rsidP="006C53FB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05530">
        <w:rPr>
          <w:b/>
          <w:spacing w:val="0"/>
          <w:kern w:val="0"/>
          <w:position w:val="0"/>
          <w:u w:val="none"/>
        </w:rPr>
        <w:t>контракта</w:t>
      </w:r>
    </w:p>
    <w:p w:rsidR="000C26E6" w:rsidRPr="000C26E6" w:rsidRDefault="00264FC2" w:rsidP="006C53FB">
      <w:pPr>
        <w:tabs>
          <w:tab w:val="left" w:pos="1177"/>
        </w:tabs>
        <w:rPr>
          <w:spacing w:val="0"/>
          <w:kern w:val="0"/>
          <w:position w:val="0"/>
          <w:szCs w:val="24"/>
          <w:u w:val="none"/>
        </w:rPr>
      </w:pPr>
      <w:r>
        <w:rPr>
          <w:b/>
          <w:bCs/>
          <w:spacing w:val="0"/>
          <w:kern w:val="0"/>
          <w:position w:val="0"/>
          <w:u w:val="none"/>
        </w:rPr>
        <w:tab/>
      </w:r>
      <w:r w:rsidR="00364713"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A162A2" w:rsidRDefault="00CE7A86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bCs/>
          <w:spacing w:val="0"/>
          <w:kern w:val="0"/>
          <w:position w:val="0"/>
          <w:szCs w:val="24"/>
          <w:u w:val="none"/>
        </w:rPr>
        <w:t xml:space="preserve">Руководствуясь </w:t>
      </w:r>
      <w:r w:rsidR="007D077B" w:rsidRPr="007D077B">
        <w:rPr>
          <w:bCs/>
          <w:spacing w:val="0"/>
          <w:kern w:val="0"/>
          <w:position w:val="0"/>
          <w:szCs w:val="24"/>
          <w:u w:val="none"/>
        </w:rPr>
        <w:t>частью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– Закон № 44-ФЗ)</w:t>
      </w:r>
      <w:r w:rsidR="007E59B6">
        <w:rPr>
          <w:spacing w:val="0"/>
          <w:kern w:val="0"/>
          <w:position w:val="0"/>
          <w:szCs w:val="24"/>
          <w:u w:val="none"/>
        </w:rPr>
        <w:t xml:space="preserve">, а так же </w:t>
      </w:r>
      <w:r w:rsidR="00265979" w:rsidRPr="00265979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="00C54F05" w:rsidRPr="00C54F05">
        <w:rPr>
          <w:spacing w:val="0"/>
          <w:kern w:val="0"/>
          <w:position w:val="0"/>
          <w:szCs w:val="24"/>
          <w:u w:val="none"/>
        </w:rPr>
        <w:t>п.11 ч.2 ст.3</w:t>
      </w:r>
      <w:r w:rsidR="00265979">
        <w:rPr>
          <w:spacing w:val="0"/>
          <w:kern w:val="0"/>
          <w:position w:val="0"/>
          <w:szCs w:val="24"/>
          <w:u w:val="none"/>
        </w:rPr>
        <w:t>1</w:t>
      </w:r>
      <w:r w:rsidR="00C54F05" w:rsidRPr="00C54F05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«Егорлыкское сельское поселение»</w:t>
      </w:r>
    </w:p>
    <w:p w:rsidR="007135FA" w:rsidRDefault="007135F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>1. </w:t>
      </w:r>
      <w:r w:rsidRPr="0083621A">
        <w:rPr>
          <w:bCs/>
          <w:spacing w:val="0"/>
          <w:kern w:val="0"/>
          <w:position w:val="0"/>
          <w:szCs w:val="24"/>
          <w:u w:val="none"/>
        </w:rPr>
        <w:t>Создать комиссию по принятию решений о внесении изменений в существенные условия контракта и утвердить её состав согласно приложению № 1 к настоящему распоряжению.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bCs/>
          <w:spacing w:val="0"/>
          <w:kern w:val="0"/>
          <w:position w:val="0"/>
          <w:szCs w:val="24"/>
          <w:u w:val="none"/>
        </w:rPr>
        <w:t>2. </w:t>
      </w:r>
      <w:r w:rsidRPr="0083621A">
        <w:rPr>
          <w:spacing w:val="0"/>
          <w:kern w:val="0"/>
          <w:position w:val="0"/>
          <w:szCs w:val="24"/>
          <w:u w:val="none"/>
        </w:rPr>
        <w:t xml:space="preserve">Утвердить Положение о </w:t>
      </w:r>
      <w:r w:rsidRPr="0083621A">
        <w:rPr>
          <w:bCs/>
          <w:spacing w:val="0"/>
          <w:kern w:val="0"/>
          <w:position w:val="0"/>
          <w:szCs w:val="24"/>
          <w:u w:val="none"/>
        </w:rPr>
        <w:t xml:space="preserve">комиссии по принятию решений о внесении изменений в существенные условия контракта </w:t>
      </w:r>
      <w:r w:rsidRPr="0083621A">
        <w:rPr>
          <w:spacing w:val="0"/>
          <w:kern w:val="0"/>
          <w:position w:val="0"/>
          <w:szCs w:val="24"/>
          <w:u w:val="none"/>
        </w:rPr>
        <w:t>согласно приложению № 2 к настоящему распоряжению.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bCs/>
          <w:spacing w:val="0"/>
          <w:kern w:val="0"/>
          <w:position w:val="0"/>
          <w:szCs w:val="24"/>
          <w:u w:val="none"/>
        </w:rPr>
        <w:t>3. </w:t>
      </w:r>
      <w:proofErr w:type="gramStart"/>
      <w:r w:rsidRPr="0083621A">
        <w:rPr>
          <w:bCs/>
          <w:spacing w:val="0"/>
          <w:kern w:val="0"/>
          <w:position w:val="0"/>
          <w:szCs w:val="24"/>
          <w:u w:val="none"/>
        </w:rPr>
        <w:t>Установить, что в случае если при исполнении контракта, заключенного в рамках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до 1 января 2023 года, возникли независящие от сторон контракта обстоятельства, влекущие невозможность его исполнения, главные распорядители бюджетных средств (Заказчики) на основании обращений поставщиков (подрядчиков, исполнителей), подготавливают заключение</w:t>
      </w:r>
      <w:proofErr w:type="gramEnd"/>
      <w:r w:rsidRPr="0083621A">
        <w:rPr>
          <w:bCs/>
          <w:spacing w:val="0"/>
          <w:kern w:val="0"/>
          <w:position w:val="0"/>
          <w:szCs w:val="24"/>
          <w:u w:val="none"/>
        </w:rPr>
        <w:t xml:space="preserve"> о возможности внесения изменений в существенные условия контракта. Вопрос о возможности внесения изменений в существенные условия контракта выносится на рассмотрение комиссии.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 xml:space="preserve">Предусмотренное настоящим пунктом изменение осуществляется с соблюдением положений </w:t>
      </w:r>
      <w:hyperlink r:id="rId8" w:history="1">
        <w:r w:rsidRPr="0083621A">
          <w:rPr>
            <w:rStyle w:val="a8"/>
            <w:spacing w:val="0"/>
            <w:kern w:val="0"/>
            <w:position w:val="0"/>
            <w:szCs w:val="24"/>
          </w:rPr>
          <w:t>частей 1.3</w:t>
        </w:r>
      </w:hyperlink>
      <w:r w:rsidRPr="0083621A">
        <w:rPr>
          <w:spacing w:val="0"/>
          <w:kern w:val="0"/>
          <w:position w:val="0"/>
          <w:szCs w:val="24"/>
          <w:u w:val="none"/>
        </w:rPr>
        <w:t xml:space="preserve"> - </w:t>
      </w:r>
      <w:hyperlink r:id="rId9" w:history="1">
        <w:r w:rsidRPr="0083621A">
          <w:rPr>
            <w:rStyle w:val="a8"/>
            <w:spacing w:val="0"/>
            <w:kern w:val="0"/>
            <w:position w:val="0"/>
            <w:szCs w:val="24"/>
          </w:rPr>
          <w:t>1.6 статьи 95</w:t>
        </w:r>
      </w:hyperlink>
      <w:r w:rsidRPr="0083621A">
        <w:rPr>
          <w:spacing w:val="0"/>
          <w:kern w:val="0"/>
          <w:position w:val="0"/>
          <w:szCs w:val="24"/>
          <w:u w:val="none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основании постановления Администрации </w:t>
      </w:r>
      <w:r>
        <w:rPr>
          <w:spacing w:val="0"/>
          <w:kern w:val="0"/>
          <w:position w:val="0"/>
          <w:szCs w:val="24"/>
          <w:u w:val="none"/>
        </w:rPr>
        <w:t>Егорлыкского сельского поселения.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 xml:space="preserve">4. Настоящее распоряжение вступает в силу с момента подписания,  подлежит официальному опубликованию и размещению на официальном </w:t>
      </w:r>
      <w:r w:rsidRPr="0083621A">
        <w:rPr>
          <w:spacing w:val="0"/>
          <w:kern w:val="0"/>
          <w:position w:val="0"/>
          <w:szCs w:val="24"/>
          <w:u w:val="none"/>
        </w:rPr>
        <w:lastRenderedPageBreak/>
        <w:t xml:space="preserve">сайте Администрации </w:t>
      </w:r>
      <w:r>
        <w:rPr>
          <w:spacing w:val="0"/>
          <w:kern w:val="0"/>
          <w:position w:val="0"/>
          <w:szCs w:val="24"/>
          <w:u w:val="none"/>
        </w:rPr>
        <w:t>Егорлыкского сельского поселения</w:t>
      </w:r>
      <w:r w:rsidRPr="0083621A">
        <w:rPr>
          <w:spacing w:val="0"/>
          <w:kern w:val="0"/>
          <w:position w:val="0"/>
          <w:szCs w:val="24"/>
          <w:u w:val="none"/>
        </w:rPr>
        <w:t xml:space="preserve"> в</w:t>
      </w:r>
      <w:bookmarkStart w:id="0" w:name="_GoBack"/>
      <w:bookmarkEnd w:id="0"/>
      <w:r w:rsidRPr="0083621A">
        <w:rPr>
          <w:spacing w:val="0"/>
          <w:kern w:val="0"/>
          <w:position w:val="0"/>
          <w:szCs w:val="24"/>
          <w:u w:val="none"/>
        </w:rPr>
        <w:t xml:space="preserve"> информационно-телекоммуникационной сети «Интернет». </w:t>
      </w:r>
    </w:p>
    <w:p w:rsid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>5. </w:t>
      </w:r>
      <w:proofErr w:type="gramStart"/>
      <w:r w:rsidRPr="0083621A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83621A">
        <w:rPr>
          <w:spacing w:val="0"/>
          <w:kern w:val="0"/>
          <w:position w:val="0"/>
          <w:szCs w:val="24"/>
          <w:u w:val="none"/>
        </w:rPr>
        <w:t xml:space="preserve"> исполнением настоящего распоряжения возложить на </w:t>
      </w:r>
      <w:r w:rsidR="00A31058">
        <w:rPr>
          <w:spacing w:val="0"/>
          <w:kern w:val="0"/>
          <w:position w:val="0"/>
          <w:szCs w:val="24"/>
          <w:u w:val="none"/>
        </w:rPr>
        <w:t>заведующего сектором экон</w:t>
      </w:r>
      <w:r w:rsidR="00E37A07">
        <w:rPr>
          <w:spacing w:val="0"/>
          <w:kern w:val="0"/>
          <w:position w:val="0"/>
          <w:szCs w:val="24"/>
          <w:u w:val="none"/>
        </w:rPr>
        <w:t>омики и финансов Алексеенко А.А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85C93" w:rsidRDefault="00885C93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D51396" w:rsidRDefault="00D51396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264FC2" w:rsidRPr="00264FC2" w:rsidRDefault="00AB3BA9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Распоряжение</w:t>
      </w:r>
      <w:r w:rsidR="00264FC2" w:rsidRPr="00264FC2">
        <w:rPr>
          <w:spacing w:val="0"/>
          <w:kern w:val="0"/>
          <w:position w:val="0"/>
          <w:szCs w:val="24"/>
          <w:u w:val="none"/>
        </w:rPr>
        <w:t xml:space="preserve"> вносит:</w:t>
      </w:r>
    </w:p>
    <w:p w:rsidR="00264FC2" w:rsidRPr="00264FC2" w:rsidRDefault="00264FC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64FC2">
        <w:rPr>
          <w:spacing w:val="0"/>
          <w:kern w:val="0"/>
          <w:position w:val="0"/>
          <w:szCs w:val="24"/>
          <w:u w:val="none"/>
        </w:rPr>
        <w:t xml:space="preserve">сектор экономики и финансов </w:t>
      </w:r>
    </w:p>
    <w:p w:rsidR="00264FC2" w:rsidRPr="00264FC2" w:rsidRDefault="00264FC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64FC2"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631C1F" w:rsidRDefault="00264FC2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264FC2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A3597B" w:rsidRDefault="00A3597B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3597B" w:rsidRDefault="00A3597B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3597B" w:rsidRDefault="00A3597B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3597B" w:rsidRDefault="00A3597B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F4A96" w:rsidRDefault="00EF4A96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EF4A96" w:rsidRDefault="00EF4A96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A31058" w:rsidRDefault="00A31058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83621A" w:rsidRPr="0083621A" w:rsidRDefault="0083621A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lastRenderedPageBreak/>
        <w:t>Приложение № 1</w:t>
      </w:r>
    </w:p>
    <w:p w:rsidR="0083621A" w:rsidRPr="0083621A" w:rsidRDefault="0083621A" w:rsidP="005256DF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 xml:space="preserve">к распоряжению </w:t>
      </w:r>
      <w:r w:rsidR="005256DF">
        <w:rPr>
          <w:spacing w:val="0"/>
          <w:kern w:val="0"/>
          <w:position w:val="0"/>
          <w:szCs w:val="24"/>
          <w:u w:val="none"/>
        </w:rPr>
        <w:t>А</w:t>
      </w:r>
      <w:r w:rsidRPr="0083621A">
        <w:rPr>
          <w:spacing w:val="0"/>
          <w:kern w:val="0"/>
          <w:position w:val="0"/>
          <w:szCs w:val="24"/>
          <w:u w:val="none"/>
        </w:rPr>
        <w:t xml:space="preserve">дминистрации </w:t>
      </w:r>
    </w:p>
    <w:p w:rsidR="0083621A" w:rsidRPr="0083621A" w:rsidRDefault="0083621A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Егорлыкского сельского поселения</w:t>
      </w:r>
      <w:r w:rsidR="00CE7A8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83621A" w:rsidRPr="0083621A" w:rsidRDefault="0083621A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 xml:space="preserve">от </w:t>
      </w:r>
      <w:r>
        <w:rPr>
          <w:spacing w:val="0"/>
          <w:kern w:val="0"/>
          <w:position w:val="0"/>
          <w:szCs w:val="24"/>
          <w:u w:val="none"/>
        </w:rPr>
        <w:t>12.05</w:t>
      </w:r>
      <w:r w:rsidRPr="0083621A">
        <w:rPr>
          <w:spacing w:val="0"/>
          <w:kern w:val="0"/>
          <w:position w:val="0"/>
          <w:szCs w:val="24"/>
          <w:u w:val="none"/>
        </w:rPr>
        <w:t>.2022 №</w:t>
      </w:r>
      <w:r w:rsidR="005256DF">
        <w:rPr>
          <w:spacing w:val="0"/>
          <w:kern w:val="0"/>
          <w:position w:val="0"/>
          <w:szCs w:val="24"/>
          <w:u w:val="none"/>
        </w:rPr>
        <w:t xml:space="preserve"> 58</w:t>
      </w:r>
      <w:r w:rsidR="00CE7A8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Pr="005256DF" w:rsidRDefault="005256DF" w:rsidP="005256DF">
      <w:pPr>
        <w:ind w:firstLine="709"/>
        <w:jc w:val="center"/>
        <w:rPr>
          <w:b/>
          <w:bCs/>
          <w:color w:val="000000"/>
          <w:spacing w:val="0"/>
          <w:kern w:val="0"/>
          <w:position w:val="0"/>
          <w:u w:val="none"/>
        </w:rPr>
      </w:pPr>
      <w:r w:rsidRPr="005256DF">
        <w:rPr>
          <w:b/>
          <w:bCs/>
          <w:color w:val="000000"/>
          <w:spacing w:val="0"/>
          <w:kern w:val="0"/>
          <w:position w:val="0"/>
          <w:u w:val="none"/>
        </w:rPr>
        <w:t>Состав комиссии по принятию решения о внесении изменений в существенные условия контракта</w:t>
      </w: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tbl>
      <w:tblPr>
        <w:tblStyle w:val="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812"/>
      </w:tblGrid>
      <w:tr w:rsidR="005256DF" w:rsidRPr="005256DF" w:rsidTr="0040100B">
        <w:trPr>
          <w:trHeight w:val="987"/>
        </w:trPr>
        <w:tc>
          <w:tcPr>
            <w:tcW w:w="3292" w:type="dxa"/>
          </w:tcPr>
          <w:p w:rsidR="005256DF" w:rsidRPr="005256DF" w:rsidRDefault="005256DF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proofErr w:type="spellStart"/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Гулай</w:t>
            </w:r>
            <w:proofErr w:type="spellEnd"/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Иван Иванович</w:t>
            </w:r>
          </w:p>
        </w:tc>
        <w:tc>
          <w:tcPr>
            <w:tcW w:w="5812" w:type="dxa"/>
          </w:tcPr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Глава Администрации Егорлыкского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сельского поселения,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председатель комиссии</w:t>
            </w:r>
          </w:p>
        </w:tc>
      </w:tr>
      <w:tr w:rsidR="005256DF" w:rsidRPr="005256DF" w:rsidTr="0040100B">
        <w:tc>
          <w:tcPr>
            <w:tcW w:w="3292" w:type="dxa"/>
          </w:tcPr>
          <w:p w:rsidR="005256DF" w:rsidRPr="005256DF" w:rsidRDefault="005256DF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Димитров Александр Анатольевич</w:t>
            </w:r>
          </w:p>
        </w:tc>
        <w:tc>
          <w:tcPr>
            <w:tcW w:w="5812" w:type="dxa"/>
          </w:tcPr>
          <w:p w:rsidR="005256DF" w:rsidRPr="005256DF" w:rsidRDefault="00CD163B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Заместитель г</w:t>
            </w:r>
            <w:r w:rsidR="005256DF"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лавы Администрации Егорлыкского сельского поселения,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заместитель председателя комиссии</w:t>
            </w:r>
          </w:p>
        </w:tc>
      </w:tr>
      <w:tr w:rsidR="005256DF" w:rsidRPr="005256DF" w:rsidTr="0040100B">
        <w:trPr>
          <w:trHeight w:val="1397"/>
        </w:trPr>
        <w:tc>
          <w:tcPr>
            <w:tcW w:w="3292" w:type="dxa"/>
          </w:tcPr>
          <w:p w:rsidR="005256DF" w:rsidRPr="005256DF" w:rsidRDefault="005256DF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Ермолаев Дмитрий Анатольевич</w:t>
            </w:r>
          </w:p>
        </w:tc>
        <w:tc>
          <w:tcPr>
            <w:tcW w:w="5812" w:type="dxa"/>
          </w:tcPr>
          <w:p w:rsidR="005256DF" w:rsidRPr="005256DF" w:rsidRDefault="005256DF" w:rsidP="005256DF">
            <w:pPr>
              <w:tabs>
                <w:tab w:val="center" w:pos="5141"/>
              </w:tabs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Ведущий специалист по правовой работе и взаимодействию с представительным органом Администрации Егорлыкского сельского поселения, член комиссии</w:t>
            </w:r>
          </w:p>
        </w:tc>
      </w:tr>
      <w:tr w:rsidR="005256DF" w:rsidRPr="005256DF" w:rsidTr="0040100B">
        <w:tc>
          <w:tcPr>
            <w:tcW w:w="3292" w:type="dxa"/>
          </w:tcPr>
          <w:p w:rsidR="005256DF" w:rsidRPr="005256DF" w:rsidRDefault="005256DF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Савицкая Надежда Сергеевна</w:t>
            </w:r>
          </w:p>
        </w:tc>
        <w:tc>
          <w:tcPr>
            <w:tcW w:w="5812" w:type="dxa"/>
          </w:tcPr>
          <w:p w:rsidR="005256DF" w:rsidRPr="005256DF" w:rsidRDefault="005256DF" w:rsidP="005256DF">
            <w:pPr>
              <w:tabs>
                <w:tab w:val="center" w:pos="5141"/>
              </w:tabs>
              <w:spacing w:after="200" w:line="276" w:lineRule="auto"/>
              <w:ind w:left="86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Ведущий специалист сектора экономики и финансов Администрации Егорлыкского сельского поселения, секретарь комиссии</w:t>
            </w:r>
          </w:p>
        </w:tc>
      </w:tr>
      <w:tr w:rsidR="005256DF" w:rsidRPr="005256DF" w:rsidTr="0040100B">
        <w:tc>
          <w:tcPr>
            <w:tcW w:w="3292" w:type="dxa"/>
          </w:tcPr>
          <w:p w:rsidR="005256DF" w:rsidRPr="005256DF" w:rsidRDefault="005256DF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proofErr w:type="spellStart"/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Каменцев</w:t>
            </w:r>
            <w:proofErr w:type="spellEnd"/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Максим Игоревич</w:t>
            </w:r>
          </w:p>
        </w:tc>
        <w:tc>
          <w:tcPr>
            <w:tcW w:w="5812" w:type="dxa"/>
          </w:tcPr>
          <w:p w:rsidR="005256DF" w:rsidRPr="005256DF" w:rsidRDefault="005256DF" w:rsidP="005256DF">
            <w:pPr>
              <w:tabs>
                <w:tab w:val="center" w:pos="5141"/>
              </w:tabs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Заведующий сектором муниципального хозяйства Администрации Егорлыкского сельского поселения, член комиссии</w:t>
            </w:r>
          </w:p>
        </w:tc>
      </w:tr>
      <w:tr w:rsidR="00E37A07" w:rsidRPr="005256DF" w:rsidTr="00E35EB1">
        <w:tc>
          <w:tcPr>
            <w:tcW w:w="3292" w:type="dxa"/>
          </w:tcPr>
          <w:p w:rsidR="00E37A07" w:rsidRPr="005256DF" w:rsidRDefault="00E37A07" w:rsidP="00E35EB1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Алексеенко Анна Андреевна</w:t>
            </w:r>
          </w:p>
        </w:tc>
        <w:tc>
          <w:tcPr>
            <w:tcW w:w="5812" w:type="dxa"/>
          </w:tcPr>
          <w:p w:rsidR="00E37A07" w:rsidRPr="005256DF" w:rsidRDefault="00E37A07" w:rsidP="00E37A07">
            <w:pPr>
              <w:tabs>
                <w:tab w:val="center" w:pos="5141"/>
              </w:tabs>
              <w:spacing w:after="200" w:line="276" w:lineRule="auto"/>
              <w:ind w:left="86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Заведующий</w:t>
            </w: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сектор</w:t>
            </w: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ом</w:t>
            </w: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экономики и финансов Администрации Егорлыкского сельско</w:t>
            </w:r>
            <w:r w:rsidR="00EE4CC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го поселения, член комиссии</w:t>
            </w:r>
          </w:p>
        </w:tc>
      </w:tr>
      <w:tr w:rsidR="00E37A07" w:rsidRPr="005256DF" w:rsidTr="00E35EB1">
        <w:tc>
          <w:tcPr>
            <w:tcW w:w="3292" w:type="dxa"/>
          </w:tcPr>
          <w:p w:rsidR="00E37A07" w:rsidRPr="005256DF" w:rsidRDefault="00E37A07" w:rsidP="00E35EB1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proofErr w:type="spellStart"/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Дробилко</w:t>
            </w:r>
            <w:proofErr w:type="spellEnd"/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Светлана Николаевна</w:t>
            </w:r>
          </w:p>
        </w:tc>
        <w:tc>
          <w:tcPr>
            <w:tcW w:w="5812" w:type="dxa"/>
          </w:tcPr>
          <w:p w:rsidR="00E37A07" w:rsidRPr="005256DF" w:rsidRDefault="00E37A07" w:rsidP="00E35EB1">
            <w:pPr>
              <w:tabs>
                <w:tab w:val="center" w:pos="5141"/>
              </w:tabs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Главный бухгалтер Адми</w:t>
            </w: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нистрации Егорлыкского сельского поселения, член комиссии</w:t>
            </w:r>
          </w:p>
        </w:tc>
      </w:tr>
    </w:tbl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tbl>
      <w:tblPr>
        <w:tblStyle w:val="1"/>
        <w:tblW w:w="1601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5812"/>
      </w:tblGrid>
      <w:tr w:rsidR="005256DF" w:rsidRPr="005256DF" w:rsidTr="00CE7A86">
        <w:trPr>
          <w:trHeight w:val="987"/>
        </w:trPr>
        <w:tc>
          <w:tcPr>
            <w:tcW w:w="10207" w:type="dxa"/>
          </w:tcPr>
          <w:p w:rsidR="00E94A59" w:rsidRPr="0083621A" w:rsidRDefault="00E94A59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lastRenderedPageBreak/>
              <w:t xml:space="preserve">Приложение № 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  <w:p w:rsidR="00E94A59" w:rsidRPr="0083621A" w:rsidRDefault="00E94A59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к распоряжению 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>А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дминистрации </w:t>
            </w:r>
          </w:p>
          <w:p w:rsidR="00E94A59" w:rsidRPr="0083621A" w:rsidRDefault="00E94A59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Cs w:val="24"/>
                <w:u w:val="none"/>
              </w:rPr>
              <w:t>Егорлыкского сельского поселения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E94A59" w:rsidRPr="0083621A" w:rsidRDefault="00E94A59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от 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>12.05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>.2022 №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 xml:space="preserve"> 58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ind w:left="601" w:firstLine="709"/>
              <w:jc w:val="center"/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  <w:t>ПОЛОЖЕНИЕ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  <w:t xml:space="preserve">о </w:t>
            </w:r>
            <w:r w:rsidRPr="00E94A59">
              <w:rPr>
                <w:rFonts w:eastAsia="Calibri"/>
                <w:b/>
                <w:bCs/>
                <w:spacing w:val="0"/>
                <w:kern w:val="0"/>
                <w:position w:val="0"/>
                <w:u w:val="none"/>
                <w:lang w:eastAsia="zh-CN"/>
              </w:rPr>
              <w:t>комиссии по принятию решений о внесении изменений в существенные условия контракта</w:t>
            </w:r>
            <w:r w:rsidRPr="00E94A59"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</w:p>
          <w:p w:rsid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 Общие положения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1.1. Положение о комиссии по </w:t>
            </w:r>
            <w:r>
              <w:rPr>
                <w:spacing w:val="0"/>
                <w:kern w:val="0"/>
                <w:position w:val="0"/>
                <w:u w:val="none"/>
                <w:lang w:eastAsia="zh-CN"/>
              </w:rPr>
              <w:t>принятию решений о внесении изменений в существенные условия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контрактов (далее - Положение) устанавливает порядок создания и деятельности комиссии по </w:t>
            </w:r>
            <w:r>
              <w:rPr>
                <w:spacing w:val="0"/>
                <w:kern w:val="0"/>
                <w:position w:val="0"/>
                <w:u w:val="none"/>
                <w:lang w:eastAsia="zh-CN"/>
              </w:rPr>
              <w:t>принятию решений о внесении изменений в существенные условия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контрактов (далее - Комиссия). 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1.2. Комиссия является совещательным органом, созданным с целью подготовки рекомендаций по вопросам допустимости изменения условий контрактов на основании обращений главных распорядителей бюджетных средств (далее - ГРБС) об изменении условий контрактов в соответствии: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а) с пунктом </w:t>
            </w:r>
            <w:r w:rsidR="00E37A07">
              <w:rPr>
                <w:spacing w:val="0"/>
                <w:kern w:val="0"/>
                <w:position w:val="0"/>
                <w:u w:val="none"/>
                <w:lang w:eastAsia="zh-CN"/>
              </w:rPr>
              <w:t>9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части 1 статьи 95 Федерального закона от 05.04.2013 №44-ФЗ «О контрактной системе в сфере закупок товаров, работ, услуг для обеспечения государственных и муниципальных нужд»                                   (далее – Федеральный закон №44-ФЗ)</w:t>
            </w:r>
            <w:r w:rsidRPr="00E94A59">
              <w:rPr>
                <w:color w:val="000000"/>
                <w:spacing w:val="0"/>
                <w:kern w:val="0"/>
                <w:position w:val="0"/>
                <w:u w:val="none"/>
                <w:lang w:eastAsia="zh-CN"/>
              </w:rPr>
              <w:t xml:space="preserve"> в связи с существенным увеличением цен на строительные ресурсы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б) с частью 65.1 статьи 112</w:t>
            </w:r>
            <w:r w:rsidRPr="00E94A59"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  <w:t xml:space="preserve">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Федерального закона №44-ФЗ</w:t>
            </w:r>
            <w:r w:rsidRPr="00E94A59"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  <w:t xml:space="preserve">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 связи с возникновением независящих от сторон обстоятельств, влекущих невозможность исполнения контракта.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1.3. Комиссия в своей деятельности руководствуется законодательство</w:t>
            </w:r>
            <w:r w:rsidR="00E6094E">
              <w:rPr>
                <w:spacing w:val="0"/>
                <w:kern w:val="0"/>
                <w:position w:val="0"/>
                <w:u w:val="none"/>
                <w:lang w:eastAsia="zh-CN"/>
              </w:rPr>
              <w:t>м Российской Федерации и Ростовской области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, муниципальными нормативными правовыми актами, Положением и осуществляет свою деятельность во взаимодействии</w:t>
            </w:r>
            <w:r w:rsidR="00E6094E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с органами А</w:t>
            </w:r>
            <w:r w:rsidR="000477A9">
              <w:rPr>
                <w:spacing w:val="0"/>
                <w:kern w:val="0"/>
                <w:position w:val="0"/>
                <w:u w:val="none"/>
                <w:lang w:eastAsia="zh-CN"/>
              </w:rPr>
              <w:t>дминистрации Егорлыкского сельского поселения</w:t>
            </w:r>
            <w:r w:rsidR="000477A9">
              <w:t xml:space="preserve"> </w:t>
            </w:r>
            <w:r w:rsidR="000477A9" w:rsidRPr="000477A9">
              <w:rPr>
                <w:spacing w:val="0"/>
                <w:kern w:val="0"/>
                <w:position w:val="0"/>
                <w:u w:val="none"/>
                <w:lang w:eastAsia="zh-CN"/>
              </w:rPr>
              <w:t>и ее структурными подразделениями.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1.4. Термины и понятия используются в Положении в соответствии с их значениями, определенными Федеральным законом №44-ФЗ.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rFonts w:ascii="Calibri" w:hAnsi="Calibri" w:cs="Calibri"/>
                <w:b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2. Функции, права и обязанности Комиссии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2.1. К функциям Комиссии относятся: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рассмотрение обоснований изменения существенных условий контракта,</w:t>
            </w:r>
            <w:r w:rsidRPr="00E94A59"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  <w:t xml:space="preserve">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(изменение (увеличение) цены контракта и (или) срока исполнения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контракта);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рассмотрение обоснований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подготовка рекомендаций о допустимости или недопустимости изменения условий контракта.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2.2. В своей деятельности Комиссия имеет право: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запрашивать в органах государственной власти, органах местного самоуправления и иных организациях информацию по вопросам, относящимся к компетенции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приглашать на заседание Комиссии и заслушивать представителей органов государственной власти, ГРБС, заказчиков, а также поставщиков (подрядчиков, исполнителей).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2.3. Комиссия обязана осуществлять свою деятельность в соответствии с действующим законодательством Российской Федерации, 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>Ростовской области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и муниципальными правовыми актами.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center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 Состав Комиссии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3.1. </w:t>
            </w:r>
            <w:proofErr w:type="gramStart"/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В состав Комиссии включаются 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>глава А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дминистрации 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>Егорлыкского сельского поселения, заместитель главы Администрации Егорлыкского сельского поселения, в</w:t>
            </w:r>
            <w:r w:rsidR="00B60A8A" w:rsidRPr="00B60A8A">
              <w:rPr>
                <w:spacing w:val="0"/>
                <w:kern w:val="0"/>
                <w:position w:val="0"/>
                <w:u w:val="none"/>
                <w:lang w:eastAsia="zh-CN"/>
              </w:rPr>
              <w:t>едущий специалист по правовой работе и взаимодействию с представительным органом Администрации Егорлыкского сельского поселения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>, в</w:t>
            </w:r>
            <w:r w:rsidR="00B60A8A" w:rsidRPr="00B60A8A">
              <w:rPr>
                <w:spacing w:val="0"/>
                <w:kern w:val="0"/>
                <w:position w:val="0"/>
                <w:u w:val="none"/>
                <w:lang w:eastAsia="zh-CN"/>
              </w:rPr>
              <w:t>едущий специалист сектора экономики и финансов Администрации Егорлыкского сельского поселения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>, з</w:t>
            </w:r>
            <w:r w:rsidR="00B60A8A" w:rsidRPr="00B60A8A">
              <w:rPr>
                <w:spacing w:val="0"/>
                <w:kern w:val="0"/>
                <w:position w:val="0"/>
                <w:u w:val="none"/>
                <w:lang w:eastAsia="zh-CN"/>
              </w:rPr>
              <w:t>аведующий сектором муниципального хозяйства Администрации Егорлыкского сельского поселения</w:t>
            </w:r>
            <w:r w:rsidR="00E37A07">
              <w:rPr>
                <w:spacing w:val="0"/>
                <w:kern w:val="0"/>
                <w:position w:val="0"/>
                <w:u w:val="none"/>
                <w:lang w:eastAsia="zh-CN"/>
              </w:rPr>
              <w:t>, заведующий сектором экономики и финансов Администрации Егорлыкского сельского поселения, главный бухгалтер Администрации Егорлыкского</w:t>
            </w:r>
            <w:proofErr w:type="gramEnd"/>
            <w:r w:rsidR="00E37A07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сельского поселения.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3.2. С</w:t>
            </w:r>
            <w:r w:rsidR="00865D8E">
              <w:rPr>
                <w:spacing w:val="0"/>
                <w:kern w:val="0"/>
                <w:position w:val="0"/>
                <w:u w:val="none"/>
                <w:lang w:eastAsia="zh-CN"/>
              </w:rPr>
              <w:t>остав Комиссии утверждается Распоряжением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администрации Егорлыкского сельского поселения.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 В состав Комиссии входят председатель Комиссии, заместитель председателя Комиссии, секретарь Комиссии и иные члены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3.3.1. Председатель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осуществляет общее руководство Комиссией;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утверждает повестку заседания Комиссии, назначает дату, время и место проведения заседания Комиссии, определяет состав приглашенных лиц;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председательствует на заседаниях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предоставляет слово для выступлений членам Комиссии, приглашенным лицам;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ставит на голосование предложения членов Комиссии и проекты принимаемых решений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подводит итоги голосования и оглашает принятые решения;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подписывает протокол заседания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осуществляет иные полномочия по организации деятельности Комиссии, направленные на достижение цели ее создания.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3.3.2. Заместитель председателя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содействует председателю Комиссии в организации деятельности Комиссии;</w:t>
            </w:r>
          </w:p>
          <w:p w:rsidR="00E94A59" w:rsidRPr="00E94A59" w:rsidRDefault="00E94A59" w:rsidP="009B4245">
            <w:pPr>
              <w:autoSpaceDE w:val="0"/>
              <w:spacing w:line="235" w:lineRule="auto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исполняет полномочия председателя Комиссии в случае его временного отсутствия;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осуществляет иные полномочия по поручению председателя Комиссии, направленные на достижение цели создания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3.3.3. Секретарь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формирует повестку заседания Комиссии и представляет ее председателю Комиссии для утверждения и назначения даты заседания Комиссии, организует подготовку материалов к заседанию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оповещает членов Комиссии и приглашаемых на заседание лиц о дате, времени, месте проведения заседания и его повестке, а также обеспечивает направление материалов к очередному заседанию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перед началом заседания Комиссии обеспечивает регистрацию членов Комиссии, приглашенных лиц;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ведет протокол заседания Комиссии, оформляет и подписывает его;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осуществляет иные полномочия по обеспечению деятельности Комиссии и выполняет поручения председателя Комиссии, направленные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br/>
              <w:t>на достижение цели создания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 случае временного отсутствия секретаря Комиссии его полномочия исполняет один из членов Комиссии по поручению председателя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3.3.4. Члены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принимают непосредственное участие в заседаниях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знакомятся с документами и материалами по вопросам, рассматриваемым Комиссией;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участвуют в голосовании по вопросам, рассматриваемым в ходе заседания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вносят предложения по организации деятельности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выражают особое мнение в случае несогласия с решением, принятым на заседании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осуществляют иные полномочия, направленные на достижение цели создания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3.4. Участие в деятельности Комиссии не должно приводить к 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№273-ФЗ «О противодействии коррупции».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37A07" w:rsidP="009B4245">
            <w:pPr>
              <w:widowControl w:val="0"/>
              <w:tabs>
                <w:tab w:val="left" w:pos="5743"/>
              </w:tabs>
              <w:autoSpaceDE w:val="0"/>
              <w:ind w:left="601" w:firstLine="709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>
              <w:rPr>
                <w:spacing w:val="0"/>
                <w:kern w:val="0"/>
                <w:position w:val="0"/>
                <w:u w:val="none"/>
                <w:lang w:eastAsia="zh-CN"/>
              </w:rPr>
              <w:tab/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4. Порядок работы Комиссии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E94A59">
              <w:rPr>
                <w:spacing w:val="0"/>
                <w:kern w:val="0"/>
                <w:position w:val="0"/>
                <w:u w:val="none"/>
              </w:rPr>
              <w:t>4.1. Организационно-техническое обеспечение деятельности Комиссии осуществляет</w:t>
            </w:r>
            <w:r w:rsidR="00EC78AD">
              <w:rPr>
                <w:spacing w:val="0"/>
                <w:kern w:val="0"/>
                <w:position w:val="0"/>
                <w:u w:val="none"/>
              </w:rPr>
              <w:t xml:space="preserve"> сектор экономики и финансов Администрации Егорлыкского сельского поселения</w:t>
            </w:r>
            <w:r w:rsidRPr="00E94A59">
              <w:rPr>
                <w:spacing w:val="0"/>
                <w:kern w:val="0"/>
                <w:position w:val="0"/>
                <w:u w:val="none"/>
              </w:rPr>
              <w:t>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4.2.</w:t>
            </w:r>
            <w:r w:rsidRPr="00E94A59"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  <w:t> 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Основной формой деятельности Комиссии является заседание. 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4.3. Заседания Комиссии проводятся по мере необходимости.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4.4. Заседание Комиссии правомочно, если в нем приняло участие более половины от установленного числа ее членов.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 xml:space="preserve">4.5. Решение Комиссии принимается путем открытого голосования простым большинством голосов членов Комиссии, присутствующих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br/>
              <w:t>на заседании.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4.6. При голосовании каждый член Комиссии имеет один голос.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br/>
              <w:t>При равном количестве голосов членов Комиссии голос председательствующего на заседании Комиссии является решающим.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DejaVu Sans"/>
                <w:spacing w:val="0"/>
                <w:kern w:val="0"/>
                <w:position w:val="0"/>
                <w:u w:val="none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4.7. </w:t>
            </w:r>
            <w:r w:rsidRPr="00E94A59">
              <w:rPr>
                <w:rFonts w:eastAsia="DejaVu Sans"/>
                <w:spacing w:val="0"/>
                <w:kern w:val="0"/>
                <w:position w:val="0"/>
                <w:u w:val="none"/>
              </w:rPr>
              <w:t>При несогласии любого из членов Комиссии с принятым на заседании Комиссии решением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      </w:r>
          </w:p>
          <w:p w:rsidR="00E94A59" w:rsidRPr="00E94A59" w:rsidRDefault="00E94A59" w:rsidP="009B4245">
            <w:pPr>
              <w:autoSpaceDE w:val="0"/>
              <w:ind w:left="601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autoSpaceDE w:val="0"/>
              <w:ind w:left="601" w:firstLine="709"/>
              <w:jc w:val="center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5. Порядок рассмотрения вопросов о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допустимости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изменения условий контрактов</w:t>
            </w:r>
          </w:p>
          <w:p w:rsidR="00E94A59" w:rsidRPr="00E94A59" w:rsidRDefault="00E94A59" w:rsidP="009B4245">
            <w:pPr>
              <w:autoSpaceDE w:val="0"/>
              <w:ind w:left="601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5.1. Вопрос о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допустимости изменения существенных условий контракта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рассматривается Комиссией в соответствии: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bCs/>
                <w:color w:val="000000"/>
                <w:spacing w:val="0"/>
                <w:kern w:val="0"/>
                <w:position w:val="0"/>
                <w:u w:val="none"/>
              </w:rPr>
            </w:pPr>
            <w:r w:rsidRPr="00E94A59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 xml:space="preserve"> с частью 65.1 статьи 112 Федерального закона №44-ФЗ в случае, если при исполнении контракта, заключенного до 01.01.2023, возникли независящие от сторон контракта обстоятельства, влекущие невозможность его исполнения.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5.2. В целях рассмотрения на заседании Комиссии вопроса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br/>
              <w:t xml:space="preserve">о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допустимости изменения условий контракта заказчик самостоятельно или на основании обращения поставщика (подрядчика, исполнителя) подготавливает обоснование изменения условий контракта.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5.2.1. При изменении существенных условий контракта в соответствии с пунктом 8 части 1 статьи 95 Федерального закона №44-ФЗ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в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перечень строительных материалов и (или) оборудования, подлежащих поставке и (или) использованию при исполнении контракта, стоимость которых подлежит изменению (увеличению);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срок, на который продлевается исполнение контракта, а также  обоснование целесообразности переноса срока (при изменении срока исполнения ко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нтракта);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о </w:t>
            </w:r>
            <w:proofErr w:type="spellStart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непревышении</w:t>
            </w:r>
            <w:proofErr w:type="spellEnd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(превышении) лимитов бюджетных обязательств, доведенных на срок исполнения контракта, в случае изменения цены контракта.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 обоснованию ГРБС прилагает следующие документы: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копия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 о приемке товара работы, подтверждающие частичное исполнение обязательств по контракту (при наличии);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копия обращения подрядчика, с предложением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проект дополнительного соглашения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расчет существенного возрастания стоимости строительных материалов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и (или) оборудования, подлежащих поставке и (или) использованию при исполнении контракта, подготовленный в порядке, установленном приказом Министерства строительства и жилищно-коммунального хозяйства Российской Федерации от 23.12.2019 №841/</w:t>
            </w:r>
            <w:proofErr w:type="spellStart"/>
            <w:proofErr w:type="gramStart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пр</w:t>
            </w:r>
            <w:proofErr w:type="spellEnd"/>
            <w:proofErr w:type="gramEnd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с приложением документов, содержащих информацию о цене строительных материалов и (или) оборудования, подлежащих поставке и (или) использованию при исполнении контракта, действующей на дату проведения расчета.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5.2.2. При изменении существенных условий контракта в соответствии с частью 65.1 статьи 112 Федерального закона №44-ФЗ в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срок, на который продлевается исполнение контракта, а также обоснование целесообразности переноса срока (при изменении срока исполнения контракта);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причинно-следственная связь между объектом закупки и обстоятельствами, влекущими невозможность исполнения контракта, в том числе обоснование независимости от воли сторон указанных обстоятельств;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br w:type="page"/>
              <w:t xml:space="preserve">о </w:t>
            </w:r>
            <w:proofErr w:type="spellStart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непревышении</w:t>
            </w:r>
            <w:proofErr w:type="spellEnd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(превышении) лимитов бюджетных обязательств, доведенных на срок исполнения контракта, в случае изменения цены контракта.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 обоснованию ГРБС прилагает следующие документы:</w:t>
            </w:r>
          </w:p>
          <w:p w:rsidR="00E94A59" w:rsidRPr="00E94A59" w:rsidRDefault="00E94A59" w:rsidP="009B4245">
            <w:pPr>
              <w:ind w:left="601" w:firstLine="720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копия контракта;</w:t>
            </w:r>
          </w:p>
          <w:p w:rsidR="00E94A59" w:rsidRDefault="00E94A59" w:rsidP="009B4245">
            <w:pPr>
              <w:ind w:left="601" w:firstLine="720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 о приемке товара (работы, услуги), подтверждающие частичное исполнение обязательств по контракту (при наличии);</w:t>
            </w:r>
          </w:p>
          <w:p w:rsidR="00363A6D" w:rsidRPr="00E94A59" w:rsidRDefault="00363A6D" w:rsidP="009B4245">
            <w:pPr>
              <w:ind w:left="601" w:firstLine="720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363A6D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копию обращения Поставщика (подрядчика, исполнителя) с предложением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проект дополнительного соглашения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документы, подтверждающие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документы, подтверждающие расчет предлагаемой цены контракта в соответствии с положениями Федерального закона №44-ФЗ для обоснования начальной (максимальной) цены контракта (в случае изменения цены контракта);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документы, подтверждающие возможность предоставления поставщиком (подрядчиком, исполнителем) нового обеспечения исполнения контракта (в случае если предоставление обеспечения исполнения контракта предусмотрено Федеральным законом №44-ФЗ).</w:t>
            </w:r>
          </w:p>
          <w:p w:rsidR="00E94A59" w:rsidRPr="00E94A59" w:rsidRDefault="00363A6D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5.3. </w:t>
            </w:r>
            <w:r w:rsidR="00E94A59"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</w:t>
            </w:r>
            <w:r w:rsidR="00E94A59"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окументы, указанные в пункте 5.2 настоящего раздела Положения, направляются </w:t>
            </w: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в сектор экономики и финансов Администрации </w:t>
            </w: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Егорлыкского сельского поселения</w:t>
            </w:r>
            <w:r w:rsidR="00E94A59"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для согласования внесения заказчиком вопроса о допустимости изменения условий контракта на заседание Комиссии.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363A6D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4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. </w:t>
            </w:r>
            <w:r w:rsidR="00363A6D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Сектор экономики и финансов Егорлыкского сельского поселения в течение 2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рабочих дней со дня поступления обоснования и прилагаемых документов осуществляет их проверку на соответствие требованиям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, указанным в пункте 5.2 настоящего раздела Положения, по результатам которой: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в случае соответствия согласовывает внесение вопроса о допустимости изменения условий контракта, направляет обоснование и прилагаемые документы на рассмотрение на заседании Комиссии;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в случае несоответствия возвращает их на доработку ГРБС.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. Комиссия рассматривает вопрос </w:t>
            </w:r>
            <w:proofErr w:type="gramStart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о допустимости изменения </w:t>
            </w:r>
            <w:r w:rsidR="00363A6D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условий контракта в течение двух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рабочих дней со дня внесения вопроса о допустимости изменения условий контракта на рассмотрение</w:t>
            </w:r>
            <w:proofErr w:type="gramEnd"/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на заседании Комиссии.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6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. По результатам рассмотрения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вопроса о допустимости изменения условий контракта Комиссия принимает одно из следующих решений: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рекомендовать допустить изменение условий контракта по соглашению сторон;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рекомендовать не допустить изменение условий контракта.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7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. Решение о не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допустимости изменения условий контракта в соответствии с пунктом 8 части 1 статьи 95 Федерального закона №44-ФЗ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принимается Комиссией по следующим основаниям: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предоставлены недостоверные сведения и документы;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изменение контракта повлечет превышение лимитов бюджетных обязательств, доведенных на срок исполнения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изменение контракта связано с изменением физического объема работ, конструктивных, организационно-технологических и других решений;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8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. Решение о недопустимости изменения условий контракта в соответствии с частью 65.1 статьи 112 Федерального закона №44-ФЗ принимается Комиссией по следующим основаниям: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предоставлены недостоверные сведения и документы;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изменение контракта повлечет превышение лимитов бюджетных обязательств, доведенных на срок исполнения контракта;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отсутствуют не зависящие от воли сторон обстоятельства, влекущие (повлекшие) невозможность исполнения контракта на прежних условиях;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отсутствует причинно-следственная связь между изменением условий контракта и обстоятельствами, влекущими (повлекшие) невозможность исполнения контракта на прежних условиях.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9. Решение Комиссии в течение 2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рабочих дней со дня проведения заседания оформляется протоколом, который подписывается председательствующим на заседании Комиссии и секретарем Комиссии и направляется в адрес ГРБС. </w:t>
            </w:r>
          </w:p>
          <w:p w:rsidR="005256DF" w:rsidRPr="005256DF" w:rsidRDefault="005256DF" w:rsidP="009B4245">
            <w:pPr>
              <w:ind w:left="601" w:firstLine="720"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5256DF" w:rsidRPr="0083621A" w:rsidRDefault="005256DF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Cs w:val="24"/>
                <w:u w:val="none"/>
              </w:rPr>
              <w:lastRenderedPageBreak/>
              <w:t>Приложение № 2</w:t>
            </w:r>
          </w:p>
          <w:p w:rsidR="005256DF" w:rsidRPr="0083621A" w:rsidRDefault="005256DF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к распоряжению 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>А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дминистрации </w:t>
            </w:r>
          </w:p>
          <w:p w:rsidR="005256DF" w:rsidRPr="0083621A" w:rsidRDefault="005256DF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Cs w:val="24"/>
                <w:u w:val="none"/>
              </w:rPr>
              <w:t>Егорлыкского сельского поселения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5256DF" w:rsidRPr="0083621A" w:rsidRDefault="005256DF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от 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>12.05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>.2022 №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 xml:space="preserve"> 58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5256DF" w:rsidRPr="005256DF" w:rsidTr="00CE7A86">
        <w:tc>
          <w:tcPr>
            <w:tcW w:w="10207" w:type="dxa"/>
          </w:tcPr>
          <w:p w:rsidR="005256DF" w:rsidRPr="005256DF" w:rsidRDefault="005256DF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9B4245" w:rsidRPr="005256DF" w:rsidTr="00CE7A86">
        <w:trPr>
          <w:trHeight w:val="1397"/>
        </w:trPr>
        <w:tc>
          <w:tcPr>
            <w:tcW w:w="10207" w:type="dxa"/>
          </w:tcPr>
          <w:p w:rsidR="009B4245" w:rsidRPr="005256DF" w:rsidRDefault="009B4245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9B4245" w:rsidRPr="005256DF" w:rsidRDefault="009B4245" w:rsidP="005256DF">
            <w:pPr>
              <w:tabs>
                <w:tab w:val="center" w:pos="5141"/>
              </w:tabs>
              <w:spacing w:after="200" w:line="276" w:lineRule="auto"/>
              <w:ind w:left="4712" w:hanging="8080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9B4245" w:rsidRPr="005256DF" w:rsidTr="00CE7A86">
        <w:tc>
          <w:tcPr>
            <w:tcW w:w="10207" w:type="dxa"/>
          </w:tcPr>
          <w:p w:rsidR="009B4245" w:rsidRPr="005256DF" w:rsidRDefault="009B4245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9B4245" w:rsidRPr="005256DF" w:rsidRDefault="009B4245" w:rsidP="005256DF">
            <w:pPr>
              <w:tabs>
                <w:tab w:val="center" w:pos="5141"/>
              </w:tabs>
              <w:spacing w:after="200" w:line="276" w:lineRule="auto"/>
              <w:ind w:left="86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9B4245" w:rsidRPr="005256DF" w:rsidTr="00CE7A86">
        <w:tc>
          <w:tcPr>
            <w:tcW w:w="10207" w:type="dxa"/>
          </w:tcPr>
          <w:p w:rsidR="009B4245" w:rsidRPr="005256DF" w:rsidRDefault="009B4245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9B4245" w:rsidRPr="005256DF" w:rsidRDefault="009B4245" w:rsidP="005256DF">
            <w:pPr>
              <w:tabs>
                <w:tab w:val="center" w:pos="5141"/>
              </w:tabs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</w:tbl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sectPr w:rsidR="00B8563B" w:rsidSect="00CE7A86">
      <w:pgSz w:w="11906" w:h="16838" w:code="9"/>
      <w:pgMar w:top="851" w:right="851" w:bottom="39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6B" w:rsidRDefault="004A1A6B" w:rsidP="00E94A59">
      <w:r>
        <w:separator/>
      </w:r>
    </w:p>
  </w:endnote>
  <w:endnote w:type="continuationSeparator" w:id="0">
    <w:p w:rsidR="004A1A6B" w:rsidRDefault="004A1A6B" w:rsidP="00E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6B" w:rsidRDefault="004A1A6B" w:rsidP="00E94A59">
      <w:r>
        <w:separator/>
      </w:r>
    </w:p>
  </w:footnote>
  <w:footnote w:type="continuationSeparator" w:id="0">
    <w:p w:rsidR="004A1A6B" w:rsidRDefault="004A1A6B" w:rsidP="00E9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477A9"/>
    <w:rsid w:val="0008126B"/>
    <w:rsid w:val="000C26E6"/>
    <w:rsid w:val="00126542"/>
    <w:rsid w:val="00155CE4"/>
    <w:rsid w:val="0016381D"/>
    <w:rsid w:val="001663D8"/>
    <w:rsid w:val="001B7084"/>
    <w:rsid w:val="001C0D2B"/>
    <w:rsid w:val="001C1AB8"/>
    <w:rsid w:val="001E5ED2"/>
    <w:rsid w:val="00264FC2"/>
    <w:rsid w:val="00265979"/>
    <w:rsid w:val="00287A4A"/>
    <w:rsid w:val="0029718B"/>
    <w:rsid w:val="002A71DD"/>
    <w:rsid w:val="002A7552"/>
    <w:rsid w:val="003278CC"/>
    <w:rsid w:val="00363A6D"/>
    <w:rsid w:val="00364713"/>
    <w:rsid w:val="003721AA"/>
    <w:rsid w:val="003C711F"/>
    <w:rsid w:val="003F755C"/>
    <w:rsid w:val="003F7A83"/>
    <w:rsid w:val="004249C8"/>
    <w:rsid w:val="00463B1E"/>
    <w:rsid w:val="004A1A6B"/>
    <w:rsid w:val="004A694D"/>
    <w:rsid w:val="004D2161"/>
    <w:rsid w:val="00501F67"/>
    <w:rsid w:val="00505530"/>
    <w:rsid w:val="00513E02"/>
    <w:rsid w:val="00514EBB"/>
    <w:rsid w:val="005256DF"/>
    <w:rsid w:val="00544D9E"/>
    <w:rsid w:val="00551E77"/>
    <w:rsid w:val="0059088A"/>
    <w:rsid w:val="00596414"/>
    <w:rsid w:val="005B2634"/>
    <w:rsid w:val="005B7739"/>
    <w:rsid w:val="005E2974"/>
    <w:rsid w:val="00631C1F"/>
    <w:rsid w:val="00646B6F"/>
    <w:rsid w:val="006C53FB"/>
    <w:rsid w:val="007135FA"/>
    <w:rsid w:val="0073175E"/>
    <w:rsid w:val="00737EE7"/>
    <w:rsid w:val="00757303"/>
    <w:rsid w:val="00791F08"/>
    <w:rsid w:val="007D077B"/>
    <w:rsid w:val="007E59B6"/>
    <w:rsid w:val="0083621A"/>
    <w:rsid w:val="00865D8E"/>
    <w:rsid w:val="008711B5"/>
    <w:rsid w:val="00885C93"/>
    <w:rsid w:val="008B6ADA"/>
    <w:rsid w:val="008C19FC"/>
    <w:rsid w:val="008D039C"/>
    <w:rsid w:val="0095713E"/>
    <w:rsid w:val="00965FFF"/>
    <w:rsid w:val="00972C8B"/>
    <w:rsid w:val="00991543"/>
    <w:rsid w:val="009915A6"/>
    <w:rsid w:val="009B4245"/>
    <w:rsid w:val="00A162A2"/>
    <w:rsid w:val="00A20553"/>
    <w:rsid w:val="00A31058"/>
    <w:rsid w:val="00A3597B"/>
    <w:rsid w:val="00A97490"/>
    <w:rsid w:val="00AB3BA9"/>
    <w:rsid w:val="00AC0005"/>
    <w:rsid w:val="00AD416D"/>
    <w:rsid w:val="00B60A8A"/>
    <w:rsid w:val="00B8563B"/>
    <w:rsid w:val="00B879B2"/>
    <w:rsid w:val="00BB1EF3"/>
    <w:rsid w:val="00BB7F5F"/>
    <w:rsid w:val="00C16F57"/>
    <w:rsid w:val="00C54F05"/>
    <w:rsid w:val="00C5719B"/>
    <w:rsid w:val="00C64C58"/>
    <w:rsid w:val="00C8474F"/>
    <w:rsid w:val="00CD163B"/>
    <w:rsid w:val="00CE2FB7"/>
    <w:rsid w:val="00CE7A86"/>
    <w:rsid w:val="00D0386B"/>
    <w:rsid w:val="00D27393"/>
    <w:rsid w:val="00D36A2C"/>
    <w:rsid w:val="00D51396"/>
    <w:rsid w:val="00D541ED"/>
    <w:rsid w:val="00DA40CB"/>
    <w:rsid w:val="00E17355"/>
    <w:rsid w:val="00E37A07"/>
    <w:rsid w:val="00E6094E"/>
    <w:rsid w:val="00E70F9C"/>
    <w:rsid w:val="00E76C8A"/>
    <w:rsid w:val="00E87D69"/>
    <w:rsid w:val="00E94A59"/>
    <w:rsid w:val="00EA19B1"/>
    <w:rsid w:val="00EC78AD"/>
    <w:rsid w:val="00ED08D4"/>
    <w:rsid w:val="00EE36E6"/>
    <w:rsid w:val="00EE4CC6"/>
    <w:rsid w:val="00EF4A96"/>
    <w:rsid w:val="00F435C1"/>
    <w:rsid w:val="00F822FC"/>
    <w:rsid w:val="00FC6E5B"/>
    <w:rsid w:val="00FD6BEE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uiPriority w:val="59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5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kern w:val="0"/>
      <w:position w:val="0"/>
      <w:sz w:val="22"/>
      <w:szCs w:val="22"/>
      <w:u w:val="none"/>
      <w:lang w:eastAsia="en-US"/>
    </w:rPr>
  </w:style>
  <w:style w:type="character" w:styleId="a8">
    <w:name w:val="Hyperlink"/>
    <w:basedOn w:val="a0"/>
    <w:uiPriority w:val="99"/>
    <w:unhideWhenUsed/>
    <w:rsid w:val="0083621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5256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256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4A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4A59"/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E94A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A59"/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uiPriority w:val="59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5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kern w:val="0"/>
      <w:position w:val="0"/>
      <w:sz w:val="22"/>
      <w:szCs w:val="22"/>
      <w:u w:val="none"/>
      <w:lang w:eastAsia="en-US"/>
    </w:rPr>
  </w:style>
  <w:style w:type="character" w:styleId="a8">
    <w:name w:val="Hyperlink"/>
    <w:basedOn w:val="a0"/>
    <w:uiPriority w:val="99"/>
    <w:unhideWhenUsed/>
    <w:rsid w:val="0083621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5256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256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4A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4A59"/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E94A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A59"/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A1B20F01C00CC43DD4C0D3DFB66E2216998F01C040AFD71615874544137CFE53AB7959FC6D34BE24BCAF63CBkBe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A1B20F01C00CC43DD4C0D3DFB66E2216998F01C040AFD71615874545107CFE53AB7959FC6D34BE24BCAF63CBkB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10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RePack by Diakov</cp:lastModifiedBy>
  <cp:revision>38</cp:revision>
  <cp:lastPrinted>2021-09-09T07:31:00Z</cp:lastPrinted>
  <dcterms:created xsi:type="dcterms:W3CDTF">2020-02-03T12:42:00Z</dcterms:created>
  <dcterms:modified xsi:type="dcterms:W3CDTF">2022-05-16T11:41:00Z</dcterms:modified>
</cp:coreProperties>
</file>